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Pr>
      <w:tblGrid>
        <w:gridCol w:w="8306"/>
        <w:gridCol w:w="1900"/>
      </w:tblGrid>
      <w:tr>
        <w:tc>
          <w:tcPr>
            <w:tcW w:type="dxa" w:w="8306"/>
            <w:tcBorders>
              <w:top w:val="none" w:color="FFFFFF" w:sz="0"/>
              <w:left w:val="none" w:color="FFFFFF" w:sz="0"/>
              <w:bottom w:val="none" w:color="FFFFFF" w:sz="0"/>
              <w:right w:val="none" w:color="FFFFFF" w:sz="0"/>
            </w:tcBorders>
            <w:vAlign w:val="center"/>
          </w:tcPr>
          <w:p>
            <w:pPr>
              <w:spacing w:after="60"/>
            </w:pPr>
            <w:r>
              <w:rPr>
                <w:rFonts w:ascii="Arial" w:cs="Arial" w:eastAsia="Arial" w:hAnsi="Arial"/>
                <w:b/>
                <w:bCs/>
                <w:i w:val="false"/>
                <w:iCs w:val="false"/>
                <w:color w:val="005A9E"/>
                <w:sz w:val="56"/>
                <w:szCs w:val="56"/>
              </w:rPr>
              <w:t xml:space="preserve">SURAJ SHUKLA</w:t>
            </w:r>
          </w:p>
          <w:p>
            <w:pPr>
              <w:spacing w:after="90"/>
            </w:pPr>
            <w:r>
              <w:rPr>
                <w:rFonts w:ascii="Arial" w:cs="Arial" w:eastAsia="Arial" w:hAnsi="Arial"/>
                <w:b/>
                <w:bCs/>
                <w:i w:val="false"/>
                <w:iCs w:val="false"/>
                <w:color w:val="0078D4"/>
                <w:sz w:val="22"/>
                <w:szCs w:val="22"/>
              </w:rPr>
              <w:t xml:space="preserve">Senior Power BI Developer  |  BI Project Lead  |  Pharma Commercial Analytics</w:t>
            </w:r>
          </w:p>
          <w:p>
            <w:pPr>
              <w:spacing w:after="30"/>
            </w:pPr>
            <w:r>
              <w:rPr>
                <w:rFonts w:ascii="Arial" w:cs="Arial" w:eastAsia="Arial" w:hAnsi="Arial"/>
                <w:b w:val="false"/>
                <w:bCs w:val="false"/>
                <w:i w:val="false"/>
                <w:iCs w:val="false"/>
                <w:color w:val="555555"/>
                <w:sz w:val="19"/>
                <w:szCs w:val="19"/>
              </w:rPr>
              <w:t xml:space="preserve">Delhi, India  •  +91 83186 31559  •  isuraj.shukla@icloud.com  •  linkedin.com/in/surajshukla1</w:t>
            </w:r>
          </w:p>
          <w:p>
            <w:pPr>
              <w:spacing w:after="0"/>
            </w:pPr>
            <w:r>
              <w:rPr>
                <w:rFonts w:ascii="Arial" w:cs="Arial" w:eastAsia="Arial" w:hAnsi="Arial"/>
                <w:b w:val="false"/>
                <w:bCs w:val="false"/>
                <w:i/>
                <w:iCs/>
                <w:color w:val="555555"/>
                <w:sz w:val="19"/>
                <w:szCs w:val="19"/>
              </w:rPr>
              <w:t xml:space="preserve">Open to international relocation — immediately available for UAE; visa sponsorship required for UK/EU</w:t>
            </w:r>
          </w:p>
        </w:tc>
        <w:tc>
          <w:tcPr>
            <w:tcW w:type="dxa" w:w="1900"/>
            <w:tcBorders>
              <w:top w:val="none" w:color="FFFFFF" w:sz="0"/>
              <w:left w:val="none" w:color="FFFFFF" w:sz="0"/>
              <w:bottom w:val="none" w:color="FFFFFF" w:sz="0"/>
              <w:right w:val="none" w:color="FFFFFF" w:sz="0"/>
            </w:tcBorders>
            <w:vAlign w:val="center"/>
          </w:tcPr>
          <w:p>
            <w:pPr>
              <w:jc w:val="right"/>
            </w:pPr>
            <w:r>
              <w:drawing>
                <wp:inline distT="0" distB="0" distL="0" distR="0">
                  <wp:extent cx="1028700" cy="102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28700" cy="1028700"/>
                          </a:xfrm>
                          <a:prstGeom prst="rect">
                            <a:avLst/>
                          </a:prstGeom>
                        </pic:spPr>
                      </pic:pic>
                    </a:graphicData>
                  </a:graphic>
                </wp:inline>
              </w:drawing>
            </w:r>
          </w:p>
        </w:tc>
      </w:tr>
    </w:tbl>
    <w:p>
      <w:pPr>
        <w:pBdr>
          <w:bottom w:val="single" w:color="0078D4" w:sz="12" w:space="1"/>
        </w:pBdr>
        <w:spacing w:after="0" w:before="120"/>
      </w:pPr>
    </w:p>
    <w:p>
      <w:pPr>
        <w:shd w:fill="E8F1FA" w:val="clear"/>
        <w:spacing w:after="90" w:before="200"/>
        <w:ind w:left="100"/>
      </w:pPr>
      <w:r>
        <w:rPr>
          <w:rFonts w:ascii="Arial" w:cs="Arial" w:eastAsia="Arial" w:hAnsi="Arial"/>
          <w:b/>
          <w:bCs/>
          <w:i w:val="false"/>
          <w:iCs w:val="false"/>
          <w:color w:val="005A9E"/>
          <w:sz w:val="22"/>
          <w:szCs w:val="22"/>
        </w:rPr>
        <w:t xml:space="preserve">  PROFESSIONAL SUMMARY</w:t>
      </w:r>
    </w:p>
    <w:p>
      <w:pPr>
        <w:spacing w:after="60" w:line="250"/>
      </w:pPr>
      <w:r>
        <w:rPr>
          <w:rFonts w:ascii="Arial" w:cs="Arial" w:eastAsia="Arial" w:hAnsi="Arial"/>
          <w:b w:val="false"/>
          <w:bCs w:val="false"/>
          <w:i w:val="false"/>
          <w:iCs w:val="false"/>
          <w:color w:val="1a1a1a"/>
          <w:sz w:val="20"/>
          <w:szCs w:val="20"/>
        </w:rPr>
        <w:t xml:space="preserve">Senior BI Developer and Project Lead with 8+ years of experience designing and delivering enterprise Power BI solutions for global pharmaceutical clients including Sanofi, GSK, AstraZeneca, Gilead, CSL, and ViiV Healthcare, with a primary focus on US commercial analytics. Currently lead a 12-member BI team that has delivered 100+ production dashboards — omnichannel marketing, patient analytics, sales and revenue, NBRx/TRx, and HCP engagement — serving up to 1,000 business users per dashboard on data models exceeding 500 million rows. Expert in DAX, semantic data modelling, and performance optimisation, with strong Snowflake, Azure, and Power Platform (Power Apps + Dataverse) experience and hands-on Gen AI integration using Microsoft Copilot. Microsoft Certified: Power BI Data Analyst (PL-300).</w:t>
      </w:r>
    </w:p>
    <w:p>
      <w:pPr>
        <w:shd w:fill="E8F1FA" w:val="clear"/>
        <w:spacing w:after="90" w:before="200"/>
        <w:ind w:left="100"/>
      </w:pPr>
      <w:r>
        <w:rPr>
          <w:rFonts w:ascii="Arial" w:cs="Arial" w:eastAsia="Arial" w:hAnsi="Arial"/>
          <w:b/>
          <w:bCs/>
          <w:i w:val="false"/>
          <w:iCs w:val="false"/>
          <w:color w:val="005A9E"/>
          <w:sz w:val="22"/>
          <w:szCs w:val="22"/>
        </w:rPr>
        <w:t xml:space="preserve">  CORE SKILLS</w:t>
      </w:r>
    </w:p>
    <w:tbl>
      <w:tblPr>
        <w:tblW w:type="dxa" w:w="10206"/>
        <w:tblBorders>
          <w:top w:val="none" w:color="FFFFFF" w:sz="0"/>
          <w:left w:val="none" w:color="FFFFFF" w:sz="0"/>
          <w:bottom w:val="none" w:color="FFFFFF" w:sz="0"/>
          <w:right w:val="none" w:color="FFFFFF" w:sz="0"/>
          <w:insideH w:val="none" w:color="FFFFFF" w:sz="0"/>
          <w:insideV w:val="none" w:color="FFFFFF" w:sz="0"/>
        </w:tblBorders>
      </w:tblPr>
      <w:tblGrid>
        <w:gridCol w:w="5103"/>
        <w:gridCol w:w="5103"/>
      </w:tblGrid>
      <w:tr>
        <w:tc>
          <w:tcPr>
            <w:tcW w:type="dxa" w:w="5103"/>
            <w:tcBorders>
              <w:top w:val="none" w:color="FFFFFF" w:sz="0"/>
              <w:left w:val="none" w:color="FFFFFF" w:sz="0"/>
              <w:bottom w:val="none" w:color="FFFFFF" w:sz="0"/>
              <w:right w:val="none" w:color="FFFFFF" w:sz="0"/>
            </w:tcBorders>
            <w:tcMar>
              <w:top w:type="dxa" w:w="40"/>
              <w:left w:type="dxa" w:w="60"/>
              <w:bottom w:type="dxa" w:w="60"/>
              <w:right w:type="dxa" w:w="160"/>
            </w:tcMar>
          </w:tcPr>
          <w:p>
            <w:pPr>
              <w:spacing w:after="20"/>
            </w:pPr>
            <w:r>
              <w:rPr>
                <w:rFonts w:ascii="Arial" w:cs="Arial" w:eastAsia="Arial" w:hAnsi="Arial"/>
                <w:b/>
                <w:bCs/>
                <w:i w:val="false"/>
                <w:iCs w:val="false"/>
                <w:color w:val="005A9E"/>
                <w:sz w:val="20"/>
                <w:szCs w:val="20"/>
              </w:rPr>
              <w:t xml:space="preserve">Power BI</w:t>
            </w:r>
          </w:p>
          <w:p>
            <w:pPr>
              <w:spacing w:after="0" w:line="244"/>
            </w:pPr>
            <w:r>
              <w:rPr>
                <w:rFonts w:ascii="Arial" w:cs="Arial" w:eastAsia="Arial" w:hAnsi="Arial"/>
                <w:b w:val="false"/>
                <w:bCs w:val="false"/>
                <w:i w:val="false"/>
                <w:iCs w:val="false"/>
                <w:color w:val="1a1a1a"/>
                <w:sz w:val="19"/>
                <w:szCs w:val="19"/>
              </w:rPr>
              <w:t xml:space="preserve">Semantic data modelling, DAX, Power Query (M), incremental refresh, aggregation tables, composite models (Import + DirectQuery), row-level security (RLS), deployment pipelines, dataflows, DAX Studio, Tabular Editor, Power BI Embedded, Copilot for Power BI</w:t>
            </w:r>
          </w:p>
        </w:tc>
        <w:tc>
          <w:tcPr>
            <w:tcW w:type="dxa" w:w="5103"/>
            <w:tcBorders>
              <w:top w:val="none" w:color="FFFFFF" w:sz="0"/>
              <w:left w:val="none" w:color="FFFFFF" w:sz="0"/>
              <w:bottom w:val="none" w:color="FFFFFF" w:sz="0"/>
              <w:right w:val="none" w:color="FFFFFF" w:sz="0"/>
            </w:tcBorders>
            <w:tcMar>
              <w:top w:type="dxa" w:w="40"/>
              <w:left w:type="dxa" w:w="60"/>
              <w:bottom w:type="dxa" w:w="60"/>
              <w:right w:type="dxa" w:w="160"/>
            </w:tcMar>
          </w:tcPr>
          <w:p>
            <w:pPr>
              <w:spacing w:after="20"/>
            </w:pPr>
            <w:r>
              <w:rPr>
                <w:rFonts w:ascii="Arial" w:cs="Arial" w:eastAsia="Arial" w:hAnsi="Arial"/>
                <w:b/>
                <w:bCs/>
                <w:i w:val="false"/>
                <w:iCs w:val="false"/>
                <w:color w:val="005A9E"/>
                <w:sz w:val="20"/>
                <w:szCs w:val="20"/>
              </w:rPr>
              <w:t xml:space="preserve">Power Platform</w:t>
            </w:r>
          </w:p>
          <w:p>
            <w:pPr>
              <w:spacing w:after="0" w:line="244"/>
            </w:pPr>
            <w:r>
              <w:rPr>
                <w:rFonts w:ascii="Arial" w:cs="Arial" w:eastAsia="Arial" w:hAnsi="Arial"/>
                <w:b w:val="false"/>
                <w:bCs w:val="false"/>
                <w:i w:val="false"/>
                <w:iCs w:val="false"/>
                <w:color w:val="1a1a1a"/>
                <w:sz w:val="19"/>
                <w:szCs w:val="19"/>
              </w:rPr>
              <w:t xml:space="preserve">Power Apps (canvas and model-driven) with Dataverse, Power Automate, write-back solutions, embedded analytics and REST API automation</w:t>
            </w:r>
          </w:p>
        </w:tc>
      </w:tr>
      <w:tr>
        <w:tc>
          <w:tcPr>
            <w:tcW w:type="dxa" w:w="5103"/>
            <w:tcBorders>
              <w:top w:val="none" w:color="FFFFFF" w:sz="0"/>
              <w:left w:val="none" w:color="FFFFFF" w:sz="0"/>
              <w:bottom w:val="none" w:color="FFFFFF" w:sz="0"/>
              <w:right w:val="none" w:color="FFFFFF" w:sz="0"/>
            </w:tcBorders>
            <w:tcMar>
              <w:top w:type="dxa" w:w="40"/>
              <w:left w:type="dxa" w:w="60"/>
              <w:bottom w:type="dxa" w:w="60"/>
              <w:right w:type="dxa" w:w="160"/>
            </w:tcMar>
          </w:tcPr>
          <w:p>
            <w:pPr>
              <w:spacing w:after="20"/>
            </w:pPr>
            <w:r>
              <w:rPr>
                <w:rFonts w:ascii="Arial" w:cs="Arial" w:eastAsia="Arial" w:hAnsi="Arial"/>
                <w:b/>
                <w:bCs/>
                <w:i w:val="false"/>
                <w:iCs w:val="false"/>
                <w:color w:val="005A9E"/>
                <w:sz w:val="20"/>
                <w:szCs w:val="20"/>
              </w:rPr>
              <w:t xml:space="preserve">Data &amp; Cloud</w:t>
            </w:r>
          </w:p>
          <w:p>
            <w:pPr>
              <w:spacing w:after="0" w:line="244"/>
            </w:pPr>
            <w:r>
              <w:rPr>
                <w:rFonts w:ascii="Arial" w:cs="Arial" w:eastAsia="Arial" w:hAnsi="Arial"/>
                <w:b w:val="false"/>
                <w:bCs w:val="false"/>
                <w:i w:val="false"/>
                <w:iCs w:val="false"/>
                <w:color w:val="1a1a1a"/>
                <w:sz w:val="19"/>
                <w:szCs w:val="19"/>
              </w:rPr>
              <w:t xml:space="preserve">SQL Server, Snowflake, Azure Synapse, Azure Data Factory, AWS Redshift, Google BigQuery, SSAS Tabular, MDX</w:t>
            </w:r>
          </w:p>
        </w:tc>
        <w:tc>
          <w:tcPr>
            <w:tcW w:type="dxa" w:w="5103"/>
            <w:tcBorders>
              <w:top w:val="none" w:color="FFFFFF" w:sz="0"/>
              <w:left w:val="none" w:color="FFFFFF" w:sz="0"/>
              <w:bottom w:val="none" w:color="FFFFFF" w:sz="0"/>
              <w:right w:val="none" w:color="FFFFFF" w:sz="0"/>
            </w:tcBorders>
            <w:tcMar>
              <w:top w:type="dxa" w:w="40"/>
              <w:left w:type="dxa" w:w="60"/>
              <w:bottom w:type="dxa" w:w="60"/>
              <w:right w:type="dxa" w:w="160"/>
            </w:tcMar>
          </w:tcPr>
          <w:p>
            <w:pPr>
              <w:spacing w:after="20"/>
            </w:pPr>
            <w:r>
              <w:rPr>
                <w:rFonts w:ascii="Arial" w:cs="Arial" w:eastAsia="Arial" w:hAnsi="Arial"/>
                <w:b/>
                <w:bCs/>
                <w:i w:val="false"/>
                <w:iCs w:val="false"/>
                <w:color w:val="005A9E"/>
                <w:sz w:val="20"/>
                <w:szCs w:val="20"/>
              </w:rPr>
              <w:t xml:space="preserve">Languages &amp; Tools</w:t>
            </w:r>
          </w:p>
          <w:p>
            <w:pPr>
              <w:spacing w:after="0" w:line="244"/>
            </w:pPr>
            <w:r>
              <w:rPr>
                <w:rFonts w:ascii="Arial" w:cs="Arial" w:eastAsia="Arial" w:hAnsi="Arial"/>
                <w:b w:val="false"/>
                <w:bCs w:val="false"/>
                <w:i w:val="false"/>
                <w:iCs w:val="false"/>
                <w:color w:val="1a1a1a"/>
                <w:sz w:val="19"/>
                <w:szCs w:val="19"/>
              </w:rPr>
              <w:t xml:space="preserve">SQL, Python (Pandas), Excel (Power Pivot, VBA), Tableau, QlikSense, Git, JIRA, Confluence</w:t>
            </w:r>
          </w:p>
        </w:tc>
      </w:tr>
      <w:tr>
        <w:tc>
          <w:tcPr>
            <w:tcW w:type="dxa" w:w="5103"/>
            <w:tcBorders>
              <w:top w:val="none" w:color="FFFFFF" w:sz="0"/>
              <w:left w:val="none" w:color="FFFFFF" w:sz="0"/>
              <w:bottom w:val="none" w:color="FFFFFF" w:sz="0"/>
              <w:right w:val="none" w:color="FFFFFF" w:sz="0"/>
            </w:tcBorders>
            <w:tcMar>
              <w:top w:type="dxa" w:w="40"/>
              <w:left w:type="dxa" w:w="60"/>
              <w:bottom w:type="dxa" w:w="60"/>
              <w:right w:type="dxa" w:w="160"/>
            </w:tcMar>
          </w:tcPr>
          <w:p>
            <w:pPr>
              <w:spacing w:after="20"/>
            </w:pPr>
            <w:r>
              <w:rPr>
                <w:rFonts w:ascii="Arial" w:cs="Arial" w:eastAsia="Arial" w:hAnsi="Arial"/>
                <w:b/>
                <w:bCs/>
                <w:i w:val="false"/>
                <w:iCs w:val="false"/>
                <w:color w:val="005A9E"/>
                <w:sz w:val="20"/>
                <w:szCs w:val="20"/>
              </w:rPr>
              <w:t xml:space="preserve">Pharma Domain</w:t>
            </w:r>
          </w:p>
          <w:p>
            <w:pPr>
              <w:spacing w:after="0" w:line="244"/>
            </w:pPr>
            <w:r>
              <w:rPr>
                <w:rFonts w:ascii="Arial" w:cs="Arial" w:eastAsia="Arial" w:hAnsi="Arial"/>
                <w:b w:val="false"/>
                <w:bCs w:val="false"/>
                <w:i w:val="false"/>
                <w:iCs w:val="false"/>
                <w:color w:val="1a1a1a"/>
                <w:sz w:val="19"/>
                <w:szCs w:val="19"/>
              </w:rPr>
              <w:t xml:space="preserve">Omnichannel analytics, patient analytics, payer and rebate analytics, NBRx, TRx, HCP reach and engagement, market access, sales and revenue KPIs</w:t>
            </w:r>
          </w:p>
        </w:tc>
        <w:tc>
          <w:tcPr>
            <w:tcW w:type="dxa" w:w="5103"/>
            <w:tcBorders>
              <w:top w:val="none" w:color="FFFFFF" w:sz="0"/>
              <w:left w:val="none" w:color="FFFFFF" w:sz="0"/>
              <w:bottom w:val="none" w:color="FFFFFF" w:sz="0"/>
              <w:right w:val="none" w:color="FFFFFF" w:sz="0"/>
            </w:tcBorders>
            <w:tcMar>
              <w:top w:type="dxa" w:w="40"/>
              <w:left w:type="dxa" w:w="60"/>
              <w:bottom w:type="dxa" w:w="60"/>
              <w:right w:type="dxa" w:w="160"/>
            </w:tcMar>
          </w:tcPr>
          <w:p>
            <w:pPr>
              <w:spacing w:after="20"/>
            </w:pPr>
            <w:r>
              <w:rPr>
                <w:rFonts w:ascii="Arial" w:cs="Arial" w:eastAsia="Arial" w:hAnsi="Arial"/>
                <w:b/>
                <w:bCs/>
                <w:i w:val="false"/>
                <w:iCs w:val="false"/>
                <w:color w:val="005A9E"/>
                <w:sz w:val="20"/>
                <w:szCs w:val="20"/>
              </w:rPr>
              <w:t xml:space="preserve">Leadership</w:t>
            </w:r>
          </w:p>
          <w:p>
            <w:pPr>
              <w:spacing w:after="0" w:line="244"/>
            </w:pPr>
            <w:r>
              <w:rPr>
                <w:rFonts w:ascii="Arial" w:cs="Arial" w:eastAsia="Arial" w:hAnsi="Arial"/>
                <w:b w:val="false"/>
                <w:bCs w:val="false"/>
                <w:i w:val="false"/>
                <w:iCs w:val="false"/>
                <w:color w:val="1a1a1a"/>
                <w:sz w:val="19"/>
                <w:szCs w:val="19"/>
              </w:rPr>
              <w:t xml:space="preserve">Team leadership (12 direct reports), stakeholder management (US/EU), requirement gathering, Agile/Scrum, training and mentoring</w:t>
            </w:r>
          </w:p>
        </w:tc>
      </w:tr>
    </w:tbl>
    <w:p>
      <w:pPr>
        <w:shd w:fill="E8F1FA" w:val="clear"/>
        <w:spacing w:after="90" w:before="200"/>
        <w:ind w:left="100"/>
      </w:pPr>
      <w:r>
        <w:rPr>
          <w:rFonts w:ascii="Arial" w:cs="Arial" w:eastAsia="Arial" w:hAnsi="Arial"/>
          <w:b/>
          <w:bCs/>
          <w:i w:val="false"/>
          <w:iCs w:val="false"/>
          <w:color w:val="005A9E"/>
          <w:sz w:val="22"/>
          <w:szCs w:val="22"/>
        </w:rPr>
        <w:t xml:space="preserve">  PROFESSIONAL EXPERIENCE</w:t>
      </w:r>
    </w:p>
    <w:p>
      <w:pPr>
        <w:tabs>
          <w:tab w:val="right" w:pos="10186"/>
        </w:tabs>
        <w:spacing w:after="20" w:before="130"/>
      </w:pPr>
      <w:r>
        <w:rPr>
          <w:rFonts w:ascii="Arial" w:cs="Arial" w:eastAsia="Arial" w:hAnsi="Arial"/>
          <w:b/>
          <w:bCs/>
          <w:i w:val="false"/>
          <w:iCs w:val="false"/>
          <w:color w:val="0078D4"/>
          <w:sz w:val="21"/>
          <w:szCs w:val="21"/>
        </w:rPr>
        <w:t xml:space="preserve">Project Lead — Axtria India Pvt Ltd, Delhi</w:t>
      </w:r>
      <w:r>
        <w:rPr>
          <w:rFonts w:ascii="Arial" w:cs="Arial" w:eastAsia="Arial" w:hAnsi="Arial"/>
          <w:b/>
          <w:bCs/>
          <w:i w:val="false"/>
          <w:iCs w:val="false"/>
          <w:color w:val="555555"/>
          <w:sz w:val="20"/>
          <w:szCs w:val="20"/>
        </w:rPr>
        <w:t xml:space="preserve">	Dec 2019 – Present</w:t>
      </w:r>
    </w:p>
    <w:p>
      <w:pPr>
        <w:spacing w:after="60"/>
      </w:pPr>
      <w:r>
        <w:rPr>
          <w:rFonts w:ascii="Arial" w:cs="Arial" w:eastAsia="Arial" w:hAnsi="Arial"/>
          <w:b w:val="false"/>
          <w:bCs w:val="false"/>
          <w:i/>
          <w:iCs/>
          <w:color w:val="555555"/>
          <w:sz w:val="20"/>
          <w:szCs w:val="20"/>
        </w:rPr>
        <w:t xml:space="preserve">Global pharma commercial analytics for Sanofi, GSK, AstraZeneca, Gilead, CSL, and ViiV Healthcare (US market focus)</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Lead a 12-member BI team delivering 100+ production Power BI dashboards across omnichannel marketing, patient analytics, sales and revenue, NBRx/TRx, HCP reach, payer analytics, and rebate management for six global pharmaceutical clients, each dashboard serving up to 1,000 business users.</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Designed and optimised semantic models on 500M+ row datasets (Snowflake, SQL Server, SSAS Tabular) using star-schema modelling, aggregation tables, and incremental refresh — reducing dataset refresh windows from hours to minutes and keeping report load times in seconds at enterprise scale.</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Tuned model and query performance with DAX Studio and Tabular Editor: replaced calculated columns with measures, removed high-cardinality columns, eliminated bidirectional relationships, enforced query folding in Power Query, and applied variable-based DAX patterns.</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Integrated Microsoft Copilot and Gen AI capabilities into the Power BI ecosystem to enable natural-language querying and automated narrative generation; delivered enablement sessions as an Axtria-certified trainer, driving adoption across internal teams.</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Own end-to-end Power BI architecture and governance: workspace management, deployment pipelines, role-based access control (RBAC), and row-level security (RLS) meeting pharma compliance and audit requirements.</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Built Power Apps solutions on Dataverse — including a Milestone Tracker and write-back tools with Power Automate — and embedded Power BI reports into enterprise applications via embedded analytics and API automation.</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Served in a dual consultant/senior-developer role on Sanofi's DIVE programme, delivering dashboards for sales growth, competitor performance, market trends, net sales, and budget forecasting; received formal client appreciation from Sanofi stakeholders.</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Collaborated with US and EU business stakeholders on requirement gathering and agile delivery; mentored developers and ran internal Power BI training.</w:t>
      </w:r>
    </w:p>
    <w:p>
      <w:pPr>
        <w:tabs>
          <w:tab w:val="right" w:pos="10186"/>
        </w:tabs>
        <w:spacing w:after="20" w:before="130"/>
      </w:pPr>
      <w:r>
        <w:rPr>
          <w:rFonts w:ascii="Arial" w:cs="Arial" w:eastAsia="Arial" w:hAnsi="Arial"/>
          <w:b/>
          <w:bCs/>
          <w:i w:val="false"/>
          <w:iCs w:val="false"/>
          <w:color w:val="0078D4"/>
          <w:sz w:val="21"/>
          <w:szCs w:val="21"/>
        </w:rPr>
        <w:t xml:space="preserve">BI Developer — IndiaMART InterMESH Ltd, Delhi</w:t>
      </w:r>
      <w:r>
        <w:rPr>
          <w:rFonts w:ascii="Arial" w:cs="Arial" w:eastAsia="Arial" w:hAnsi="Arial"/>
          <w:b/>
          <w:bCs/>
          <w:i w:val="false"/>
          <w:iCs w:val="false"/>
          <w:color w:val="555555"/>
          <w:sz w:val="20"/>
          <w:szCs w:val="20"/>
        </w:rPr>
        <w:t xml:space="preserve">	May 2018 – Nov 2019</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Designed interactive Power BI dashboards including customer cohort analysis, top-5 analysis, and supplier performance for India's largest B2B marketplace.</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Built a comprehensive profit-and-loss dashboard, independently resolving complex multi-key join and data-duplication challenges to improve financial decision-making.</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Delivered monthly margin reports to company stakeholders with actionable, data-driven recommendations to improve profitability.</w:t>
      </w:r>
    </w:p>
    <w:p>
      <w:pPr>
        <w:tabs>
          <w:tab w:val="right" w:pos="10186"/>
        </w:tabs>
        <w:spacing w:after="20" w:before="130"/>
      </w:pPr>
      <w:r>
        <w:rPr>
          <w:rFonts w:ascii="Arial" w:cs="Arial" w:eastAsia="Arial" w:hAnsi="Arial"/>
          <w:b/>
          <w:bCs/>
          <w:i w:val="false"/>
          <w:iCs w:val="false"/>
          <w:color w:val="0078D4"/>
          <w:sz w:val="21"/>
          <w:szCs w:val="21"/>
        </w:rPr>
        <w:t xml:space="preserve">Business Associate — Australian Premium Solar, Delhi</w:t>
      </w:r>
      <w:r>
        <w:rPr>
          <w:rFonts w:ascii="Arial" w:cs="Arial" w:eastAsia="Arial" w:hAnsi="Arial"/>
          <w:b/>
          <w:bCs/>
          <w:i w:val="false"/>
          <w:iCs w:val="false"/>
          <w:color w:val="555555"/>
          <w:sz w:val="20"/>
          <w:szCs w:val="20"/>
        </w:rPr>
        <w:t xml:space="preserve">	Aug 2016 – Apr 2018</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Developed and published profit-and-loss reports in Power BI and maintained market-research dashboards; performed market-trend analysis that shaped marketing strategy.</w:t>
      </w:r>
    </w:p>
    <w:p>
      <w:pPr>
        <w:shd w:fill="E8F1FA" w:val="clear"/>
        <w:spacing w:after="90" w:before="200"/>
        <w:ind w:left="100"/>
      </w:pPr>
      <w:r>
        <w:rPr>
          <w:rFonts w:ascii="Arial" w:cs="Arial" w:eastAsia="Arial" w:hAnsi="Arial"/>
          <w:b/>
          <w:bCs/>
          <w:i w:val="false"/>
          <w:iCs w:val="false"/>
          <w:color w:val="005A9E"/>
          <w:sz w:val="22"/>
          <w:szCs w:val="22"/>
        </w:rPr>
        <w:t xml:space="preserve">  CERTIFICATIONS &amp; AWARDS</w:t>
      </w:r>
    </w:p>
    <w:p>
      <w:pPr>
        <w:pStyle w:val="ListParagraph"/>
        <w:numPr>
          <w:ilvl w:val="0"/>
          <w:numId w:val="2"/>
        </w:numPr>
        <w:spacing w:after="40" w:line="250"/>
      </w:pPr>
      <w:r>
        <w:rPr>
          <w:rFonts w:ascii="Arial" w:cs="Arial" w:eastAsia="Arial" w:hAnsi="Arial"/>
          <w:b/>
          <w:bCs/>
          <w:i w:val="false"/>
          <w:iCs w:val="false"/>
          <w:color w:val="1a1a1a"/>
          <w:sz w:val="20"/>
          <w:szCs w:val="20"/>
        </w:rPr>
        <w:t xml:space="preserve">Microsoft Certified: Power BI Data Analyst Associate (PL-300)</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Axtria Certified Trainer — Power BI and Microsoft Copilot</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Multiple Bravo Awards, Axtria — outstanding contributions to BI development and analytics delivery.</w:t>
      </w:r>
    </w:p>
    <w:p>
      <w:pPr>
        <w:pStyle w:val="ListParagraph"/>
        <w:numPr>
          <w:ilvl w:val="0"/>
          <w:numId w:val="2"/>
        </w:numPr>
        <w:spacing w:after="40" w:line="250"/>
      </w:pPr>
      <w:r>
        <w:rPr>
          <w:rFonts w:ascii="Arial" w:cs="Arial" w:eastAsia="Arial" w:hAnsi="Arial"/>
          <w:b w:val="false"/>
          <w:bCs w:val="false"/>
          <w:i w:val="false"/>
          <w:iCs w:val="false"/>
          <w:color w:val="1a1a1a"/>
          <w:sz w:val="20"/>
          <w:szCs w:val="20"/>
        </w:rPr>
        <w:t xml:space="preserve">Client appreciation from Sanofi for successful delivery of the DIVE programme.</w:t>
      </w:r>
    </w:p>
    <w:p>
      <w:pPr>
        <w:shd w:fill="E8F1FA" w:val="clear"/>
        <w:spacing w:after="90" w:before="200"/>
        <w:ind w:left="100"/>
      </w:pPr>
      <w:r>
        <w:rPr>
          <w:rFonts w:ascii="Arial" w:cs="Arial" w:eastAsia="Arial" w:hAnsi="Arial"/>
          <w:b/>
          <w:bCs/>
          <w:i w:val="false"/>
          <w:iCs w:val="false"/>
          <w:color w:val="005A9E"/>
          <w:sz w:val="22"/>
          <w:szCs w:val="22"/>
        </w:rPr>
        <w:t xml:space="preserve">  EDUCATION</w:t>
      </w:r>
    </w:p>
    <w:p>
      <w:pPr>
        <w:tabs>
          <w:tab w:val="right" w:pos="10186"/>
        </w:tabs>
        <w:spacing w:after="20" w:before="130"/>
      </w:pPr>
      <w:r>
        <w:rPr>
          <w:rFonts w:ascii="Arial" w:cs="Arial" w:eastAsia="Arial" w:hAnsi="Arial"/>
          <w:b/>
          <w:bCs/>
          <w:i w:val="false"/>
          <w:iCs w:val="false"/>
          <w:color w:val="0078D4"/>
          <w:sz w:val="21"/>
          <w:szCs w:val="21"/>
        </w:rPr>
        <w:t xml:space="preserve">Bachelor of Technology — PSIT Kanpur</w:t>
      </w:r>
      <w:r>
        <w:rPr>
          <w:rFonts w:ascii="Arial" w:cs="Arial" w:eastAsia="Arial" w:hAnsi="Arial"/>
          <w:b/>
          <w:bCs/>
          <w:i w:val="false"/>
          <w:iCs w:val="false"/>
          <w:color w:val="555555"/>
          <w:sz w:val="20"/>
          <w:szCs w:val="20"/>
        </w:rPr>
        <w:t xml:space="preserve">	2012 – 2016</w:t>
      </w:r>
    </w:p>
    <w:p>
      <w:pPr>
        <w:spacing w:before="100"/>
      </w:pPr>
      <w:r>
        <w:rPr>
          <w:rFonts w:ascii="Arial" w:cs="Arial" w:eastAsia="Arial" w:hAnsi="Arial"/>
          <w:b/>
          <w:bCs/>
          <w:i w:val="false"/>
          <w:iCs w:val="false"/>
          <w:color w:val="005A9E"/>
          <w:sz w:val="20"/>
          <w:szCs w:val="20"/>
        </w:rPr>
        <w:t xml:space="preserve">Languages: </w:t>
      </w:r>
      <w:r>
        <w:rPr>
          <w:rFonts w:ascii="Arial" w:cs="Arial" w:eastAsia="Arial" w:hAnsi="Arial"/>
          <w:b w:val="false"/>
          <w:bCs w:val="false"/>
          <w:i w:val="false"/>
          <w:iCs w:val="false"/>
          <w:color w:val="1a1a1a"/>
          <w:sz w:val="20"/>
          <w:szCs w:val="20"/>
        </w:rPr>
        <w:t xml:space="preserve">English (professional working proficiency)  •  Hindi (native)</w:t>
      </w:r>
    </w:p>
    <w:sectPr>
      <w:pgSz w:w="11906" w:h="16838" w:orient="portrait"/>
      <w:pgMar w:top="620" w:right="850" w:bottom="62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69db72a119d007ee31642d571f6f30180431e5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2026-07-13T20:43:38.496Z</dcterms:created>
  <dcterms:modified xsi:type="dcterms:W3CDTF">2026-07-13T20:43:38.499Z</dcterms:modified>
</cp:coreProperties>
</file>

<file path=docProps/custom.xml><?xml version="1.0" encoding="utf-8"?>
<Properties xmlns="http://schemas.openxmlformats.org/officeDocument/2006/custom-properties" xmlns:vt="http://schemas.openxmlformats.org/officeDocument/2006/docPropsVTypes"/>
</file>